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54"/>
        <w:gridCol w:w="5218"/>
        <w:gridCol w:w="221"/>
        <w:gridCol w:w="146"/>
        <w:gridCol w:w="411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1331638" w:rsidR="00093CA9" w:rsidRDefault="00407BC4" w:rsidP="00093CA9">
            <w:r w:rsidRPr="00407BC4">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6ED9C62" w:rsidR="00093CA9" w:rsidRDefault="00EA164F" w:rsidP="00093CA9">
            <w:r w:rsidRPr="00EA164F">
              <w:t>Law no.4 on the Development and Strengthening of the Financial Sector (Law 4/2023)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93C76B0" w:rsidR="00093CA9" w:rsidRDefault="00BF13E6" w:rsidP="00093CA9">
            <w:hyperlink r:id="rId17" w:history="1">
              <w:r w:rsidRPr="00207844">
                <w:rPr>
                  <w:rStyle w:val="Hyperlink"/>
                </w:rPr>
                <w:t>https://web.archive.org/web/20250702105620/https://peraturan.bpk.go.id/Download/295189/UU%20Nomor%204%20Tahun%202023.pdf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3906FF3"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B60B4F" w:rsidR="00093CA9" w:rsidRDefault="00EA164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FBF3CC5" w14:textId="7F79E8D9" w:rsidR="004C02CD" w:rsidRPr="004C02CD" w:rsidRDefault="004C02CD" w:rsidP="004C02CD">
            <w:pPr>
              <w:jc w:val="both"/>
              <w:rPr>
                <w:lang w:val="en-ID"/>
              </w:rPr>
            </w:pPr>
            <w:r w:rsidRPr="004C02CD">
              <w:rPr>
                <w:lang w:val="en-ID"/>
              </w:rPr>
              <w:t>T</w:t>
            </w:r>
            <w:r>
              <w:rPr>
                <w:lang w:val="en-ID"/>
              </w:rPr>
              <w:t xml:space="preserve">his policy tool </w:t>
            </w:r>
            <w:r w:rsidRPr="004C02CD">
              <w:rPr>
                <w:lang w:val="en-ID"/>
              </w:rPr>
              <w:t xml:space="preserve">is a comprehensive financial sector reform law enacted to deepen, strengthen, and modernize Indonesia’s financial system. The policy tool introduces a wide array of legal and institutional reforms to improve the resilience, inclusivity, transparency, and efficiency of the national financial system. It uses an </w:t>
            </w:r>
            <w:r w:rsidRPr="004C02CD">
              <w:rPr>
                <w:i/>
                <w:iCs/>
                <w:lang w:val="en-ID"/>
              </w:rPr>
              <w:t>omnibus</w:t>
            </w:r>
            <w:r w:rsidRPr="004C02CD">
              <w:rPr>
                <w:lang w:val="en-ID"/>
              </w:rPr>
              <w:t xml:space="preserve"> approach to consolidate and revise several outdated laws under one cohesive framework.</w:t>
            </w:r>
          </w:p>
          <w:p w14:paraId="668B3B70" w14:textId="17AAF716" w:rsidR="004C02CD" w:rsidRPr="004C02CD" w:rsidRDefault="004C02CD" w:rsidP="004C02CD">
            <w:pPr>
              <w:jc w:val="both"/>
              <w:rPr>
                <w:lang w:val="en-ID"/>
              </w:rPr>
            </w:pPr>
            <w:r w:rsidRPr="004C02CD">
              <w:rPr>
                <w:lang w:val="en-ID"/>
              </w:rPr>
              <w:t xml:space="preserve">A particularly relevant component of this policy tool on carbon credits is </w:t>
            </w:r>
            <w:r>
              <w:rPr>
                <w:lang w:val="en-ID"/>
              </w:rPr>
              <w:t>ca</w:t>
            </w:r>
            <w:r w:rsidRPr="004C02CD">
              <w:rPr>
                <w:lang w:val="en-ID"/>
              </w:rPr>
              <w:t xml:space="preserve">rbon </w:t>
            </w:r>
            <w:r>
              <w:rPr>
                <w:lang w:val="en-ID"/>
              </w:rPr>
              <w:t>e</w:t>
            </w:r>
            <w:r w:rsidRPr="004C02CD">
              <w:rPr>
                <w:lang w:val="en-ID"/>
              </w:rPr>
              <w:t>xchange under Article 23–26. This section establishes the carbon market framework in Indonesia, providing a legal basis for carbon trading as a market-based mechanism to reduce greenhouse gas emissions. The law designates carbon units as financial securities (</w:t>
            </w:r>
            <w:proofErr w:type="spellStart"/>
            <w:r w:rsidRPr="004C02CD">
              <w:rPr>
                <w:lang w:val="en-ID"/>
              </w:rPr>
              <w:t>efek</w:t>
            </w:r>
            <w:proofErr w:type="spellEnd"/>
            <w:r w:rsidRPr="004C02CD">
              <w:rPr>
                <w:lang w:val="en-ID"/>
              </w:rPr>
              <w:t>), thus bringing them under the jurisdiction of the Indonesia’s Financial Services Authority</w:t>
            </w:r>
            <w:r w:rsidR="00980CEA">
              <w:rPr>
                <w:lang w:val="en-ID"/>
              </w:rPr>
              <w:t xml:space="preserve"> </w:t>
            </w:r>
            <w:r w:rsidR="00980CEA" w:rsidRPr="004C02CD">
              <w:rPr>
                <w:lang w:val="en-ID"/>
              </w:rPr>
              <w:t>(</w:t>
            </w:r>
            <w:r w:rsidR="00980CEA">
              <w:rPr>
                <w:lang w:val="en-ID"/>
              </w:rPr>
              <w:t>“</w:t>
            </w:r>
            <w:r w:rsidR="00980CEA" w:rsidRPr="004C02CD">
              <w:rPr>
                <w:lang w:val="en-ID"/>
              </w:rPr>
              <w:t>OJK</w:t>
            </w:r>
            <w:r w:rsidR="00980CEA">
              <w:rPr>
                <w:lang w:val="en-ID"/>
              </w:rPr>
              <w:t>”</w:t>
            </w:r>
            <w:r w:rsidR="00980CEA" w:rsidRPr="004C02CD">
              <w:rPr>
                <w:lang w:val="en-ID"/>
              </w:rPr>
              <w:t>)</w:t>
            </w:r>
            <w:r w:rsidRPr="004C02CD">
              <w:rPr>
                <w:lang w:val="en-ID"/>
              </w:rPr>
              <w:t>.</w:t>
            </w:r>
            <w:r w:rsidR="00980CEA">
              <w:rPr>
                <w:lang w:val="en-ID"/>
              </w:rPr>
              <w:t xml:space="preserve"> </w:t>
            </w:r>
          </w:p>
          <w:p w14:paraId="18257824" w14:textId="0E7DD298" w:rsidR="00093CA9" w:rsidRPr="004C02CD" w:rsidRDefault="004C02CD" w:rsidP="004C02CD">
            <w:pPr>
              <w:jc w:val="both"/>
              <w:rPr>
                <w:lang w:val="en-ID"/>
              </w:rPr>
            </w:pPr>
            <w:r w:rsidRPr="004C02CD">
              <w:rPr>
                <w:lang w:val="en-ID"/>
              </w:rPr>
              <w:t>The carbon exchange is structured to facilitate both domestic and international carbon trading while ensuring that only licensed market operators are permitted to manage carbon exchanges. It also coordinates the development of necessary infrastructure, the utilization of state revenues derived from carbon trading, and the administration of carbon transactions. Furthermore, all trading activities must be conducted within a system authorized by OJK, with the carbon exchange’s central operations headquartered in Indonesia.</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91D4151" w:rsidR="00093CA9" w:rsidRDefault="004C02C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2A2AF42" w:rsidR="00093CA9" w:rsidRPr="00173D7C" w:rsidRDefault="004C02CD"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29F5D96" w:rsidR="00093CA9" w:rsidRPr="00173D7C" w:rsidRDefault="004C02CD"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C0CB956" w:rsidR="00093CA9" w:rsidRDefault="004C02CD" w:rsidP="00093CA9">
            <w:r>
              <w:t>President of the Republic of Indonesia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EC1A95" w:rsidR="00093CA9" w:rsidRPr="006B7B0D" w:rsidRDefault="004C02CD" w:rsidP="00093CA9">
            <w:r>
              <w:t xml:space="preserve">Indonesian Financial Services Authority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4C4B241" w:rsidR="00093CA9" w:rsidRPr="006B7B0D" w:rsidRDefault="004C02C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F2177E9" w:rsidR="00093CA9" w:rsidRDefault="005F526F" w:rsidP="005F526F">
            <w:pPr>
              <w:jc w:val="both"/>
            </w:pPr>
            <w:r w:rsidRPr="005F526F">
              <w:t>The policy tool, enacted through an omnibus law, also encompasses regulatory scopes under the authority of the Ministry of Finance. However, the provisions specifically related to the carbon exchange fall solely under the jurisdiction of the Indonesian Financial Services Authority (</w:t>
            </w:r>
            <w:proofErr w:type="spellStart"/>
            <w:r w:rsidRPr="005F526F">
              <w:t>Otoritas</w:t>
            </w:r>
            <w:proofErr w:type="spellEnd"/>
            <w:r w:rsidRPr="005F526F">
              <w:t xml:space="preserve"> Jasa </w:t>
            </w:r>
            <w:proofErr w:type="spellStart"/>
            <w:r w:rsidRPr="005F526F">
              <w:t>Keuangan</w:t>
            </w:r>
            <w:proofErr w:type="spellEnd"/>
            <w:r w:rsidRPr="005F526F">
              <w:t>/OJK).</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4F933A0" w:rsidR="00093CA9" w:rsidRDefault="005F526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07BC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07BC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07BC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59"/>
        <w:gridCol w:w="3953"/>
        <w:gridCol w:w="137"/>
        <w:gridCol w:w="527"/>
        <w:gridCol w:w="494"/>
        <w:gridCol w:w="844"/>
        <w:gridCol w:w="1842"/>
        <w:gridCol w:w="1905"/>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47B70A8C" w:rsidR="00D4323A" w:rsidRPr="00CF2E7C" w:rsidRDefault="00B24394"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5CCD36AA" w:rsidR="00D4323A" w:rsidRPr="00CF2E7C" w:rsidRDefault="00B24394" w:rsidP="00CF2E7C">
            <w:pPr>
              <w:rPr>
                <w:rFonts w:ascii="Calibri" w:hAnsi="Calibri" w:cs="Calibri"/>
              </w:rPr>
            </w:pPr>
            <w:r>
              <w:rPr>
                <w:rFonts w:ascii="Calibri" w:hAnsi="Calibri" w:cs="Calibri"/>
              </w:rPr>
              <w:t>X</w:t>
            </w:r>
          </w:p>
        </w:tc>
        <w:tc>
          <w:tcPr>
            <w:tcW w:w="1674" w:type="dxa"/>
            <w:vAlign w:val="center"/>
          </w:tcPr>
          <w:p w14:paraId="35A8F84B" w14:textId="0AE0FBD1" w:rsidR="00D4323A" w:rsidRPr="00CF2E7C" w:rsidRDefault="00D4323A" w:rsidP="00CF2E7C">
            <w:pPr>
              <w:rPr>
                <w:rFonts w:ascii="Calibri" w:hAnsi="Calibri" w:cs="Calibri"/>
              </w:rPr>
            </w:pPr>
          </w:p>
        </w:tc>
        <w:tc>
          <w:tcPr>
            <w:tcW w:w="1723" w:type="dxa"/>
            <w:vAlign w:val="center"/>
          </w:tcPr>
          <w:p w14:paraId="2E4A286B" w14:textId="0808731B"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541C8130"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1F846DC6"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5729037E" w:rsidR="00092534" w:rsidRPr="00CF2E7C" w:rsidRDefault="00092534" w:rsidP="00CC4777">
            <w:pPr>
              <w:jc w:val="both"/>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2164255A" w:rsidR="00092534" w:rsidRPr="00CF2E7C" w:rsidRDefault="00B24394" w:rsidP="00CF2E7C">
            <w:pPr>
              <w:rPr>
                <w:rFonts w:ascii="Calibri" w:hAnsi="Calibri" w:cs="Calibri"/>
              </w:rPr>
            </w:pPr>
            <w:r>
              <w:rPr>
                <w:rFonts w:ascii="Calibri" w:hAnsi="Calibri" w:cs="Calibri"/>
              </w:rPr>
              <w:t>X</w:t>
            </w: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3D07A197" w:rsidR="00092534" w:rsidRPr="00CF2E7C" w:rsidRDefault="00B24394" w:rsidP="00CF2E7C">
            <w:pPr>
              <w:rPr>
                <w:rFonts w:ascii="Calibri" w:hAnsi="Calibri" w:cs="Calibri"/>
              </w:rPr>
            </w:pPr>
            <w:r w:rsidRPr="00CC4777">
              <w:rPr>
                <w:rFonts w:ascii="Calibri" w:hAnsi="Calibri" w:cs="Calibri"/>
              </w:rPr>
              <w:t>The policy tool specifically targets the Indonesian Financial Services Authority</w:t>
            </w:r>
            <w:r>
              <w:rPr>
                <w:rFonts w:ascii="Calibri" w:hAnsi="Calibri" w:cs="Calibri"/>
              </w:rPr>
              <w:t xml:space="preserve"> (national authority)</w:t>
            </w:r>
            <w:r w:rsidRPr="00CC4777">
              <w:rPr>
                <w:rFonts w:ascii="Calibri" w:hAnsi="Calibri" w:cs="Calibri"/>
              </w:rPr>
              <w:t xml:space="preserve"> as the primary regulatory body, and the carbon exchange operator as the licensed entity responsible for managing carbon trading activities.</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07BC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BC6EA18" w:rsidR="00092534" w:rsidRPr="00CF2E7C" w:rsidRDefault="00FF40A5"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90F94A0" w:rsidR="00DB1E72" w:rsidRPr="00CF2E7C" w:rsidRDefault="00FF40A5"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5C5AC45" w:rsidR="00092534" w:rsidRPr="00CF2E7C" w:rsidRDefault="00FF40A5"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B7AD14" w14:textId="77777777" w:rsidR="00092534" w:rsidRDefault="009D04C5" w:rsidP="000257E0">
            <w:pPr>
              <w:jc w:val="both"/>
              <w:rPr>
                <w:rFonts w:ascii="Calibri" w:hAnsi="Calibri" w:cs="Calibri"/>
              </w:rPr>
            </w:pPr>
            <w:r w:rsidRPr="009D04C5">
              <w:rPr>
                <w:rFonts w:ascii="Calibri" w:hAnsi="Calibri" w:cs="Calibri"/>
              </w:rPr>
              <w:t>The Indonesian Financial Services Authority (</w:t>
            </w:r>
            <w:r>
              <w:rPr>
                <w:rFonts w:ascii="Calibri" w:hAnsi="Calibri" w:cs="Calibri"/>
              </w:rPr>
              <w:t>“</w:t>
            </w:r>
            <w:r w:rsidRPr="009D04C5">
              <w:rPr>
                <w:rFonts w:ascii="Calibri" w:hAnsi="Calibri" w:cs="Calibri"/>
              </w:rPr>
              <w:t>OJK</w:t>
            </w:r>
            <w:r>
              <w:rPr>
                <w:rFonts w:ascii="Calibri" w:hAnsi="Calibri" w:cs="Calibri"/>
              </w:rPr>
              <w:t>”</w:t>
            </w:r>
            <w:r w:rsidRPr="009D04C5">
              <w:rPr>
                <w:rFonts w:ascii="Calibri" w:hAnsi="Calibri" w:cs="Calibri"/>
              </w:rPr>
              <w:t>) Regulation No. 14 of 2023 on Carbon Trading through the Carbon Exchange</w:t>
            </w:r>
            <w:r>
              <w:rPr>
                <w:rFonts w:ascii="Calibri" w:hAnsi="Calibri" w:cs="Calibri"/>
              </w:rPr>
              <w:t xml:space="preserve"> (“OJK Reg. 14/2023”)</w:t>
            </w:r>
            <w:r w:rsidRPr="009D04C5">
              <w:rPr>
                <w:rFonts w:ascii="Calibri" w:hAnsi="Calibri" w:cs="Calibri"/>
              </w:rPr>
              <w:t xml:space="preserve"> </w:t>
            </w:r>
            <w:r>
              <w:rPr>
                <w:rFonts w:ascii="Calibri" w:hAnsi="Calibri" w:cs="Calibri"/>
              </w:rPr>
              <w:t xml:space="preserve">is an implementing regulation under the policy tool. </w:t>
            </w:r>
            <w:r w:rsidRPr="009D04C5">
              <w:rPr>
                <w:rFonts w:ascii="Calibri" w:hAnsi="Calibri" w:cs="Calibri"/>
              </w:rPr>
              <w:t>Th</w:t>
            </w:r>
            <w:r>
              <w:rPr>
                <w:rFonts w:ascii="Calibri" w:hAnsi="Calibri" w:cs="Calibri"/>
              </w:rPr>
              <w:t xml:space="preserve">e OJK Reg. 14/2023 </w:t>
            </w:r>
            <w:r w:rsidRPr="009D04C5">
              <w:rPr>
                <w:rFonts w:ascii="Calibri" w:hAnsi="Calibri" w:cs="Calibri"/>
              </w:rPr>
              <w:t>establishes licensing procedures, governance standards, and supervision mechanisms for carbon exchange operators. The regulation serves as a guideline for both market operators and OJK in overseeing carbon trading activities and coordinating with relevant ministries and agencies.</w:t>
            </w:r>
          </w:p>
          <w:p w14:paraId="11C55E01" w14:textId="6E457297" w:rsidR="00BF13E6" w:rsidRDefault="00BF13E6" w:rsidP="000257E0">
            <w:pPr>
              <w:jc w:val="both"/>
              <w:rPr>
                <w:rFonts w:ascii="Calibri" w:hAnsi="Calibri" w:cs="Calibri"/>
              </w:rPr>
            </w:pPr>
            <w:r>
              <w:rPr>
                <w:rFonts w:ascii="Calibri" w:hAnsi="Calibri" w:cs="Calibri"/>
              </w:rPr>
              <w:t>Reference:</w:t>
            </w:r>
          </w:p>
          <w:p w14:paraId="42E219C6" w14:textId="3EDB4665" w:rsidR="000257E0" w:rsidRDefault="00BF13E6" w:rsidP="000257E0">
            <w:pPr>
              <w:jc w:val="both"/>
              <w:rPr>
                <w:rFonts w:ascii="Calibri" w:hAnsi="Calibri" w:cs="Calibri"/>
              </w:rPr>
            </w:pPr>
            <w:hyperlink r:id="rId18" w:history="1">
              <w:hyperlink r:id="rId19" w:history="1">
                <w:r w:rsidRPr="00BF13E6">
                  <w:rPr>
                    <w:rStyle w:val="Hyperlink"/>
                  </w:rPr>
                  <w:t>https://web.archive.org/web/20250702085101/https://www.idxcarbon.co.id/document/share/3/fb5185f8-a662-44f4-a1f5-f1f1b5ed2b25</w:t>
                </w:r>
              </w:hyperlink>
            </w:hyperlink>
            <w:r>
              <w:t xml:space="preserve"> </w:t>
            </w:r>
          </w:p>
          <w:p w14:paraId="4087BA3D" w14:textId="4EE73893" w:rsidR="000257E0" w:rsidRPr="000257E0" w:rsidRDefault="000257E0" w:rsidP="000257E0">
            <w:pPr>
              <w:jc w:val="both"/>
              <w:rPr>
                <w:rFonts w:ascii="Calibri" w:hAnsi="Calibri" w:cs="Calibri"/>
                <w:lang w:val="en-ID"/>
              </w:rPr>
            </w:pPr>
            <w:r w:rsidRPr="000257E0">
              <w:rPr>
                <w:rFonts w:ascii="Calibri" w:hAnsi="Calibri" w:cs="Calibri"/>
                <w:lang w:val="en-ID"/>
              </w:rPr>
              <w:lastRenderedPageBreak/>
              <w:t xml:space="preserve">In addition, IDX Carbon was officially launched on September 26, 2023, as Indonesia’s designated carbon exchange, representing the practical implementation of this policy tool and OJK </w:t>
            </w:r>
            <w:r>
              <w:rPr>
                <w:rFonts w:ascii="Calibri" w:hAnsi="Calibri" w:cs="Calibri"/>
                <w:lang w:val="en-ID"/>
              </w:rPr>
              <w:t>Reg. 14/</w:t>
            </w:r>
            <w:r w:rsidRPr="000257E0">
              <w:rPr>
                <w:rFonts w:ascii="Calibri" w:hAnsi="Calibri" w:cs="Calibri"/>
                <w:lang w:val="en-ID"/>
              </w:rPr>
              <w:t>2023.</w:t>
            </w:r>
          </w:p>
          <w:p w14:paraId="4E9BC062" w14:textId="29B7F17A" w:rsidR="000257E0" w:rsidRPr="00CF2E7C" w:rsidRDefault="00BF13E6" w:rsidP="000257E0">
            <w:pPr>
              <w:jc w:val="both"/>
              <w:rPr>
                <w:rFonts w:ascii="Calibri" w:hAnsi="Calibri" w:cs="Calibri"/>
              </w:rPr>
            </w:pPr>
            <w:hyperlink r:id="rId20" w:history="1">
              <w:r w:rsidRPr="00207844">
                <w:rPr>
                  <w:rStyle w:val="Hyperlink"/>
                </w:rPr>
                <w:t>https://web.archive.org/web/20250702105653/https://www.idx.co.id/id/berita/berita/b882a251-3e5c-ee11-b808-005056aec3a4</w:t>
              </w:r>
            </w:hyperlink>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77248AE" w:rsidR="00092534" w:rsidRPr="00CF2E7C" w:rsidRDefault="000257E0"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165AF68F" w:rsidR="00092534" w:rsidRPr="00CF2E7C" w:rsidRDefault="000257E0"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11DA501C" w:rsidR="00092534" w:rsidRPr="000257E0" w:rsidRDefault="000257E0" w:rsidP="000257E0">
            <w:pPr>
              <w:jc w:val="both"/>
              <w:rPr>
                <w:rFonts w:ascii="Calibri" w:hAnsi="Calibri" w:cs="Calibri"/>
              </w:rPr>
            </w:pPr>
            <w:r w:rsidRPr="000257E0">
              <w:rPr>
                <w:rFonts w:ascii="Calibri" w:hAnsi="Calibri" w:cs="Calibri"/>
              </w:rPr>
              <w:t>The policy tool has been involved in litigation through a judicial review case filed with the Constitutional Court of the Republic of Indonesia under Case Number 95/PUU-XXI/2023. The petition was submitted by a private individual challenging the constitutionality of certain provisions, specifically Article 1 point 1 in conjunction with Article 8 point 1 and Article 2(1) in conjunction with Article 8 point 2, related to the legal basis and authority of the Indonesian Financial Services Authority (OJK). However, on 29 November 2023, the Constitutional Court ruled that the petitioner lacked legal standing, and therefore the case was declared inadmissible. Consequently, the challenged provisions remain legally binding and in full effect.</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lastRenderedPageBreak/>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CA188C1" w:rsidR="00D46B07" w:rsidRPr="00CF2E7C" w:rsidRDefault="000257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C08091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257E0">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B517AF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257E0">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FE6434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257E0">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0FAE9D9C" w:rsidR="00D46B07" w:rsidRPr="00CF2E7C" w:rsidRDefault="000257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19270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A01ED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70293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8E6A49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345F1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0AB5CB" w14:textId="5D3D6DA4" w:rsidR="00CD2707" w:rsidRPr="00CD2707" w:rsidRDefault="00CD2707" w:rsidP="00CD2707">
            <w:pPr>
              <w:jc w:val="both"/>
              <w:textAlignment w:val="baseline"/>
              <w:rPr>
                <w:rFonts w:ascii="Calibri" w:eastAsia="Times New Roman" w:hAnsi="Calibri" w:cs="Calibri"/>
                <w:kern w:val="0"/>
                <w:lang w:val="en-ID" w:eastAsia="en-GB"/>
                <w14:ligatures w14:val="none"/>
              </w:rPr>
            </w:pPr>
            <w:r w:rsidRPr="00CD2707">
              <w:rPr>
                <w:rFonts w:ascii="Calibri" w:eastAsia="Times New Roman" w:hAnsi="Calibri" w:cs="Calibri"/>
                <w:kern w:val="0"/>
                <w:lang w:val="en-ID" w:eastAsia="en-GB"/>
                <w14:ligatures w14:val="none"/>
              </w:rPr>
              <w:t>Yes, the policy tool requires the use of a registry system, but only within the context of a national registry system created and supervised by Indonesian authorities, particularly under the Financial Services Authority (OJK) and in coordination with relevant ministries.</w:t>
            </w:r>
          </w:p>
          <w:p w14:paraId="38C2165D" w14:textId="11FDA76E" w:rsidR="00702413" w:rsidRPr="00CD2707" w:rsidRDefault="00CD2707" w:rsidP="00CD2707">
            <w:pPr>
              <w:jc w:val="both"/>
              <w:textAlignment w:val="baseline"/>
              <w:rPr>
                <w:rFonts w:ascii="Calibri" w:eastAsia="Times New Roman" w:hAnsi="Calibri" w:cs="Calibri"/>
                <w:kern w:val="0"/>
                <w:lang w:val="en-ID" w:eastAsia="en-GB"/>
                <w14:ligatures w14:val="none"/>
              </w:rPr>
            </w:pPr>
            <w:r w:rsidRPr="00CD2707">
              <w:rPr>
                <w:rFonts w:ascii="Calibri" w:eastAsia="Times New Roman" w:hAnsi="Calibri" w:cs="Calibri"/>
                <w:kern w:val="0"/>
                <w:lang w:val="en-ID" w:eastAsia="en-GB"/>
                <w14:ligatures w14:val="none"/>
              </w:rPr>
              <w:t xml:space="preserve">Under Article 24(2) of </w:t>
            </w:r>
            <w:r>
              <w:rPr>
                <w:rFonts w:ascii="Calibri" w:eastAsia="Times New Roman" w:hAnsi="Calibri" w:cs="Calibri"/>
                <w:kern w:val="0"/>
                <w:lang w:val="en-ID" w:eastAsia="en-GB"/>
                <w14:ligatures w14:val="none"/>
              </w:rPr>
              <w:t>the policy tool</w:t>
            </w:r>
            <w:r w:rsidRPr="00CD2707">
              <w:rPr>
                <w:rFonts w:ascii="Calibri" w:eastAsia="Times New Roman" w:hAnsi="Calibri" w:cs="Calibri"/>
                <w:kern w:val="0"/>
                <w:lang w:val="en-ID" w:eastAsia="en-GB"/>
                <w14:ligatures w14:val="none"/>
              </w:rPr>
              <w:t xml:space="preserve"> is defined as “a system that regulates carbon trading and/or the record of ownership of carbon units.” This implies the mandatory establishment of a registry to track issuance, transactions, and ownership of carbon credits (units). The technical and regulatory details regarding this system are further mandated to be regulated by OJK through its authority</w:t>
            </w:r>
            <w:r>
              <w:rPr>
                <w:rFonts w:ascii="Calibri" w:eastAsia="Times New Roman" w:hAnsi="Calibri" w:cs="Calibri"/>
                <w:kern w:val="0"/>
                <w:lang w:val="en-ID" w:eastAsia="en-GB"/>
                <w14:ligatures w14:val="none"/>
              </w:rPr>
              <w:t xml:space="preserve"> stipulated under </w:t>
            </w:r>
            <w:r w:rsidRPr="00CD2707">
              <w:rPr>
                <w:rFonts w:ascii="Calibri" w:eastAsia="Times New Roman" w:hAnsi="Calibri" w:cs="Calibri"/>
                <w:kern w:val="0"/>
                <w:lang w:val="en-ID" w:eastAsia="en-GB"/>
                <w14:ligatures w14:val="none"/>
              </w:rPr>
              <w:t xml:space="preserve">Article 26 of the </w:t>
            </w:r>
            <w:r>
              <w:rPr>
                <w:rFonts w:ascii="Calibri" w:eastAsia="Times New Roman" w:hAnsi="Calibri" w:cs="Calibri"/>
                <w:kern w:val="0"/>
                <w:lang w:val="en-ID" w:eastAsia="en-GB"/>
                <w14:ligatures w14:val="none"/>
              </w:rPr>
              <w:t>policy tool</w:t>
            </w:r>
            <w:r w:rsidRPr="00CD2707">
              <w:rPr>
                <w:rFonts w:ascii="Calibri" w:eastAsia="Times New Roman" w:hAnsi="Calibri" w:cs="Calibri"/>
                <w:kern w:val="0"/>
                <w:lang w:val="en-ID"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B0CD3C5" w:rsidR="00343937" w:rsidRPr="00CF2E7C" w:rsidRDefault="00CD27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20485B0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3331BC4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610A8F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82ED5E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7D11EB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C9523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CA4A3EE" w:rsidR="00343937" w:rsidRPr="00CD2707" w:rsidRDefault="00CD2707" w:rsidP="00CD2707">
            <w:pPr>
              <w:jc w:val="both"/>
              <w:textAlignment w:val="baseline"/>
              <w:rPr>
                <w:rFonts w:ascii="Calibri" w:eastAsia="Times New Roman" w:hAnsi="Calibri" w:cs="Calibri"/>
                <w:kern w:val="0"/>
                <w:lang w:val="en-ID" w:eastAsia="en-GB"/>
                <w14:ligatures w14:val="none"/>
              </w:rPr>
            </w:pPr>
            <w:r w:rsidRPr="00CD2707">
              <w:rPr>
                <w:rFonts w:ascii="Calibri" w:eastAsia="Times New Roman" w:hAnsi="Calibri" w:cs="Calibri"/>
                <w:kern w:val="0"/>
                <w:lang w:val="en-ID" w:eastAsia="en-GB"/>
                <w14:ligatures w14:val="none"/>
              </w:rPr>
              <w:t xml:space="preserve">Under Article 24(2) of </w:t>
            </w:r>
            <w:r>
              <w:rPr>
                <w:rFonts w:ascii="Calibri" w:eastAsia="Times New Roman" w:hAnsi="Calibri" w:cs="Calibri"/>
                <w:kern w:val="0"/>
                <w:lang w:val="en-ID" w:eastAsia="en-GB"/>
                <w14:ligatures w14:val="none"/>
              </w:rPr>
              <w:t>the policy tool</w:t>
            </w:r>
            <w:r w:rsidRPr="00CD2707">
              <w:rPr>
                <w:rFonts w:ascii="Calibri" w:eastAsia="Times New Roman" w:hAnsi="Calibri" w:cs="Calibri"/>
                <w:kern w:val="0"/>
                <w:lang w:val="en-ID" w:eastAsia="en-GB"/>
                <w14:ligatures w14:val="none"/>
              </w:rPr>
              <w:t>, the carbon exchange is defined as a system that includes record-keeping of ownership of carbon units</w:t>
            </w:r>
            <w:r>
              <w:rPr>
                <w:rFonts w:ascii="Calibri" w:eastAsia="Times New Roman" w:hAnsi="Calibri" w:cs="Calibri"/>
                <w:kern w:val="0"/>
                <w:lang w:val="en-ID" w:eastAsia="en-GB"/>
                <w14:ligatures w14:val="none"/>
              </w:rPr>
              <w:t>.</w:t>
            </w:r>
            <w:r w:rsidRPr="00CD2707">
              <w:rPr>
                <w:rFonts w:ascii="Calibri" w:eastAsia="Times New Roman" w:hAnsi="Calibri" w:cs="Calibri"/>
                <w:kern w:val="0"/>
                <w:lang w:val="en-ID" w:eastAsia="en-GB"/>
                <w14:ligatures w14:val="none"/>
              </w:rPr>
              <w:t xml:space="preserve"> However, the</w:t>
            </w:r>
            <w:r>
              <w:rPr>
                <w:rFonts w:ascii="Calibri" w:eastAsia="Times New Roman" w:hAnsi="Calibri" w:cs="Calibri"/>
                <w:kern w:val="0"/>
                <w:lang w:val="en-ID" w:eastAsia="en-GB"/>
                <w14:ligatures w14:val="none"/>
              </w:rPr>
              <w:t xml:space="preserve"> policy tool</w:t>
            </w:r>
            <w:r w:rsidRPr="00CD2707">
              <w:rPr>
                <w:rFonts w:ascii="Calibri" w:eastAsia="Times New Roman" w:hAnsi="Calibri" w:cs="Calibri"/>
                <w:kern w:val="0"/>
                <w:lang w:val="en-ID" w:eastAsia="en-GB"/>
                <w14:ligatures w14:val="none"/>
              </w:rPr>
              <w:t xml:space="preserve"> does not explicitly mention double counting, nor does it detail procedures for other precautionary </w:t>
            </w:r>
            <w:r>
              <w:rPr>
                <w:rFonts w:ascii="Calibri" w:eastAsia="Times New Roman" w:hAnsi="Calibri" w:cs="Calibri"/>
                <w:kern w:val="0"/>
                <w:lang w:val="en-ID" w:eastAsia="en-GB"/>
                <w14:ligatures w14:val="none"/>
              </w:rPr>
              <w:t>measures</w:t>
            </w:r>
            <w:r w:rsidRPr="00CD2707">
              <w:rPr>
                <w:rFonts w:ascii="Calibri" w:eastAsia="Times New Roman" w:hAnsi="Calibri" w:cs="Calibri"/>
                <w:kern w:val="0"/>
                <w:lang w:val="en-ID"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07A4D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EEBA4C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11D15B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3D7334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D2707">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1D7C353" w:rsidR="000A6F11" w:rsidRPr="00CF2E7C" w:rsidRDefault="00CD27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67507DCD" w:rsidR="00392F82" w:rsidRPr="009C4D10" w:rsidRDefault="00D7200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15F72281" w:rsidR="00392F82" w:rsidRPr="009C4D10" w:rsidRDefault="00D7200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552D337" w:rsidR="00392F82" w:rsidRPr="00D7200D" w:rsidRDefault="00D7200D" w:rsidP="00D7200D">
            <w:pPr>
              <w:jc w:val="both"/>
              <w:textAlignment w:val="baseline"/>
              <w:rPr>
                <w:rFonts w:eastAsia="Times New Roman" w:cstheme="minorHAnsi"/>
                <w:kern w:val="0"/>
                <w:lang w:val="en-ID" w:eastAsia="en-GB"/>
                <w14:ligatures w14:val="none"/>
              </w:rPr>
            </w:pPr>
            <w:r w:rsidRPr="00D7200D">
              <w:rPr>
                <w:rFonts w:eastAsia="Times New Roman" w:cstheme="minorHAnsi"/>
                <w:kern w:val="0"/>
                <w:lang w:val="en-ID" w:eastAsia="en-GB"/>
                <w14:ligatures w14:val="none"/>
              </w:rPr>
              <w:t>The policy tool explicitly regulates the trading and intermediation of carbon credits as a financial instrument. Article 23(2) of the policy tool states that carbon units traded in the carbon market are recognized as “</w:t>
            </w:r>
            <w:proofErr w:type="spellStart"/>
            <w:r w:rsidRPr="00D7200D">
              <w:rPr>
                <w:rFonts w:eastAsia="Times New Roman" w:cstheme="minorHAnsi"/>
                <w:kern w:val="0"/>
                <w:lang w:val="en-ID" w:eastAsia="en-GB"/>
                <w14:ligatures w14:val="none"/>
              </w:rPr>
              <w:t>efek</w:t>
            </w:r>
            <w:proofErr w:type="spellEnd"/>
            <w:r w:rsidRPr="00D7200D">
              <w:rPr>
                <w:rFonts w:eastAsia="Times New Roman" w:cstheme="minorHAnsi"/>
                <w:kern w:val="0"/>
                <w:lang w:val="en-ID" w:eastAsia="en-GB"/>
                <w14:ligatures w14:val="none"/>
              </w:rPr>
              <w:t xml:space="preserve">” (securities/financial instruments) under this law. This affirms their legal status in the financial system. Article 24(1) of the policy tool states that carbon trading, domestically or internationally, may be conducted through a carbon exchange (“bursa </w:t>
            </w:r>
            <w:proofErr w:type="spellStart"/>
            <w:r w:rsidRPr="00D7200D">
              <w:rPr>
                <w:rFonts w:eastAsia="Times New Roman" w:cstheme="minorHAnsi"/>
                <w:kern w:val="0"/>
                <w:lang w:val="en-ID" w:eastAsia="en-GB"/>
                <w14:ligatures w14:val="none"/>
              </w:rPr>
              <w:t>karbon</w:t>
            </w:r>
            <w:proofErr w:type="spellEnd"/>
            <w:r w:rsidRPr="00D7200D">
              <w:rPr>
                <w:rFonts w:eastAsia="Times New Roman" w:cstheme="minorHAnsi"/>
                <w:kern w:val="0"/>
                <w:lang w:val="en-ID" w:eastAsia="en-GB"/>
                <w14:ligatures w14:val="none"/>
              </w:rPr>
              <w:t>”), which serves as a regulated marketplace for carbon units.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C9A1FF" w14:textId="57094332" w:rsidR="00D7200D" w:rsidRPr="00D7200D" w:rsidRDefault="00D7200D" w:rsidP="00D7200D">
            <w:pPr>
              <w:jc w:val="both"/>
              <w:textAlignment w:val="baseline"/>
              <w:rPr>
                <w:rFonts w:eastAsia="Times New Roman" w:cstheme="minorHAnsi"/>
                <w:kern w:val="0"/>
                <w:lang w:val="en-ID" w:eastAsia="en-GB"/>
                <w14:ligatures w14:val="none"/>
              </w:rPr>
            </w:pPr>
            <w:r w:rsidRPr="00D7200D">
              <w:rPr>
                <w:rFonts w:eastAsia="Times New Roman" w:cstheme="minorHAnsi"/>
                <w:kern w:val="0"/>
                <w:lang w:val="en-ID" w:eastAsia="en-GB"/>
                <w14:ligatures w14:val="none"/>
              </w:rPr>
              <w:t>The policy tool ensures market integrity in the carbon credit exchange through several regulatory mechanisms, these provisions are designed to uphold transparency, regulatory oversight, and institutional accountability in the operation of the carbon market. Key integrity measures include:</w:t>
            </w:r>
          </w:p>
          <w:p w14:paraId="13390109" w14:textId="0D9216EC" w:rsidR="00D7200D" w:rsidRPr="00D7200D" w:rsidRDefault="00D7200D" w:rsidP="00D7200D">
            <w:pPr>
              <w:numPr>
                <w:ilvl w:val="1"/>
                <w:numId w:val="53"/>
              </w:numPr>
              <w:tabs>
                <w:tab w:val="num" w:pos="1440"/>
              </w:tabs>
              <w:jc w:val="both"/>
              <w:textAlignment w:val="baseline"/>
              <w:rPr>
                <w:rFonts w:eastAsia="Times New Roman" w:cstheme="minorHAnsi"/>
                <w:kern w:val="0"/>
                <w:lang w:val="en-ID" w:eastAsia="en-GB"/>
                <w14:ligatures w14:val="none"/>
              </w:rPr>
            </w:pPr>
            <w:r w:rsidRPr="00D7200D">
              <w:rPr>
                <w:rFonts w:eastAsia="Times New Roman" w:cstheme="minorHAnsi"/>
                <w:kern w:val="0"/>
                <w:lang w:val="en-ID" w:eastAsia="en-GB"/>
                <w14:ligatures w14:val="none"/>
              </w:rPr>
              <w:t>Article 24(3): Mandates that carbon exchanges can only be operated by entities licensed by the Financial Services Authority (</w:t>
            </w:r>
            <w:r>
              <w:rPr>
                <w:rFonts w:eastAsia="Times New Roman" w:cstheme="minorHAnsi"/>
                <w:kern w:val="0"/>
                <w:lang w:val="en-ID" w:eastAsia="en-GB"/>
                <w14:ligatures w14:val="none"/>
              </w:rPr>
              <w:t>“</w:t>
            </w:r>
            <w:r w:rsidRPr="00D7200D">
              <w:rPr>
                <w:rFonts w:eastAsia="Times New Roman" w:cstheme="minorHAnsi"/>
                <w:kern w:val="0"/>
                <w:lang w:val="en-ID" w:eastAsia="en-GB"/>
                <w14:ligatures w14:val="none"/>
              </w:rPr>
              <w:t>OJK</w:t>
            </w:r>
            <w:r>
              <w:rPr>
                <w:rFonts w:eastAsia="Times New Roman" w:cstheme="minorHAnsi"/>
                <w:kern w:val="0"/>
                <w:lang w:val="en-ID" w:eastAsia="en-GB"/>
                <w14:ligatures w14:val="none"/>
              </w:rPr>
              <w:t>”</w:t>
            </w:r>
            <w:r w:rsidRPr="00D7200D">
              <w:rPr>
                <w:rFonts w:eastAsia="Times New Roman" w:cstheme="minorHAnsi"/>
                <w:kern w:val="0"/>
                <w:lang w:val="en-ID" w:eastAsia="en-GB"/>
                <w14:ligatures w14:val="none"/>
              </w:rPr>
              <w:t>). This ensures that only qualified, regulated parties are authorized to operate within the market, minimizing the risk of fraud or misconduct.</w:t>
            </w:r>
          </w:p>
          <w:p w14:paraId="72DDC6CC" w14:textId="77777777" w:rsidR="00D7200D" w:rsidRPr="00D7200D" w:rsidRDefault="00D7200D" w:rsidP="00D7200D">
            <w:pPr>
              <w:numPr>
                <w:ilvl w:val="1"/>
                <w:numId w:val="53"/>
              </w:numPr>
              <w:tabs>
                <w:tab w:val="num" w:pos="1440"/>
              </w:tabs>
              <w:jc w:val="both"/>
              <w:textAlignment w:val="baseline"/>
              <w:rPr>
                <w:rFonts w:eastAsia="Times New Roman" w:cstheme="minorHAnsi"/>
                <w:kern w:val="0"/>
                <w:lang w:val="en-ID" w:eastAsia="en-GB"/>
                <w14:ligatures w14:val="none"/>
              </w:rPr>
            </w:pPr>
            <w:r w:rsidRPr="00D7200D">
              <w:rPr>
                <w:rFonts w:eastAsia="Times New Roman" w:cstheme="minorHAnsi"/>
                <w:kern w:val="0"/>
                <w:lang w:val="en-ID" w:eastAsia="en-GB"/>
                <w14:ligatures w14:val="none"/>
              </w:rPr>
              <w:t>Article 24(6): Requires the development of carbon trading infrastructure to be coordinated between ministries/institutions and OJK, which promotes coherence in regulatory implementation and prevents market fragmentation or inconsistent practices.</w:t>
            </w:r>
          </w:p>
          <w:p w14:paraId="67565FAD" w14:textId="77777777" w:rsidR="00D7200D" w:rsidRPr="00D7200D" w:rsidRDefault="00D7200D" w:rsidP="00D7200D">
            <w:pPr>
              <w:numPr>
                <w:ilvl w:val="1"/>
                <w:numId w:val="53"/>
              </w:numPr>
              <w:tabs>
                <w:tab w:val="num" w:pos="1440"/>
              </w:tabs>
              <w:jc w:val="both"/>
              <w:textAlignment w:val="baseline"/>
              <w:rPr>
                <w:rFonts w:eastAsia="Times New Roman" w:cstheme="minorHAnsi"/>
                <w:kern w:val="0"/>
                <w:lang w:val="en-ID" w:eastAsia="en-GB"/>
                <w14:ligatures w14:val="none"/>
              </w:rPr>
            </w:pPr>
            <w:r w:rsidRPr="00D7200D">
              <w:rPr>
                <w:rFonts w:eastAsia="Times New Roman" w:cstheme="minorHAnsi"/>
                <w:kern w:val="0"/>
                <w:lang w:val="en-ID" w:eastAsia="en-GB"/>
                <w14:ligatures w14:val="none"/>
              </w:rPr>
              <w:t>Article 25: States that carbon trading via the carbon exchange must meet specific requirements and receive prior authorization from OJK, enabling proactive oversight of transactions and market conduct.</w:t>
            </w:r>
          </w:p>
          <w:p w14:paraId="4656A85F" w14:textId="4D228B8E" w:rsidR="00392F82" w:rsidRPr="00D7200D" w:rsidRDefault="00D7200D" w:rsidP="00D7200D">
            <w:pPr>
              <w:numPr>
                <w:ilvl w:val="1"/>
                <w:numId w:val="53"/>
              </w:numPr>
              <w:jc w:val="both"/>
              <w:textAlignment w:val="baseline"/>
              <w:rPr>
                <w:rFonts w:eastAsia="Times New Roman" w:cstheme="minorHAnsi"/>
                <w:kern w:val="0"/>
                <w:lang w:val="en-ID" w:eastAsia="en-GB"/>
                <w14:ligatures w14:val="none"/>
              </w:rPr>
            </w:pPr>
            <w:r w:rsidRPr="00D7200D">
              <w:rPr>
                <w:rFonts w:eastAsia="Times New Roman" w:cstheme="minorHAnsi"/>
                <w:kern w:val="0"/>
                <w:lang w:val="en-ID" w:eastAsia="en-GB"/>
                <w14:ligatures w14:val="none"/>
              </w:rPr>
              <w:t>Article 26(1–2): Requires OJK to issue further regulations on carbon trading in consultation with the Indonesian House of Representatives and in coordination with relevant ministries/agencies, ensuring transparency, democratic legitimacy, and cross-sectoral consistency.</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07BC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07BC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E1AF70" w14:textId="77777777" w:rsidR="00931AF5" w:rsidRDefault="00931AF5" w:rsidP="00874E39">
      <w:r>
        <w:separator/>
      </w:r>
    </w:p>
  </w:endnote>
  <w:endnote w:type="continuationSeparator" w:id="0">
    <w:p w14:paraId="76D1BCB7" w14:textId="77777777" w:rsidR="00931AF5" w:rsidRDefault="00931AF5" w:rsidP="00874E39">
      <w:r>
        <w:continuationSeparator/>
      </w:r>
    </w:p>
  </w:endnote>
  <w:endnote w:type="continuationNotice" w:id="1">
    <w:p w14:paraId="5F4B63D6" w14:textId="77777777" w:rsidR="00931AF5" w:rsidRDefault="00931A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CFF834" w14:textId="77777777" w:rsidR="00931AF5" w:rsidRDefault="00931AF5" w:rsidP="00874E39">
      <w:r>
        <w:separator/>
      </w:r>
    </w:p>
  </w:footnote>
  <w:footnote w:type="continuationSeparator" w:id="0">
    <w:p w14:paraId="52A61B84" w14:textId="77777777" w:rsidR="00931AF5" w:rsidRDefault="00931AF5" w:rsidP="00874E39">
      <w:r>
        <w:continuationSeparator/>
      </w:r>
    </w:p>
  </w:footnote>
  <w:footnote w:type="continuationNotice" w:id="1">
    <w:p w14:paraId="7A963E49" w14:textId="77777777" w:rsidR="00931AF5" w:rsidRDefault="00931A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D150AC1"/>
    <w:multiLevelType w:val="multilevel"/>
    <w:tmpl w:val="8FFAE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E895077"/>
    <w:multiLevelType w:val="multilevel"/>
    <w:tmpl w:val="75362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BE430A7"/>
    <w:multiLevelType w:val="multilevel"/>
    <w:tmpl w:val="4E768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5F493910"/>
    <w:multiLevelType w:val="multilevel"/>
    <w:tmpl w:val="F990A93E"/>
    <w:lvl w:ilvl="0">
      <w:start w:val="1"/>
      <w:numFmt w:val="decimal"/>
      <w:lvlText w:val="%1."/>
      <w:lvlJc w:val="left"/>
      <w:pPr>
        <w:tabs>
          <w:tab w:val="num" w:pos="720"/>
        </w:tabs>
        <w:ind w:left="720" w:hanging="360"/>
      </w:pPr>
    </w:lvl>
    <w:lvl w:ilvl="1">
      <w:start w:val="1"/>
      <w:numFmt w:val="lowerRoman"/>
      <w:lvlText w:val="(%2)."/>
      <w:lvlJc w:val="righ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C6B1A9D"/>
    <w:multiLevelType w:val="multilevel"/>
    <w:tmpl w:val="40FEB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5"/>
  </w:num>
  <w:num w:numId="3" w16cid:durableId="690952733">
    <w:abstractNumId w:val="45"/>
  </w:num>
  <w:num w:numId="4" w16cid:durableId="1689330127">
    <w:abstractNumId w:val="1"/>
  </w:num>
  <w:num w:numId="5" w16cid:durableId="401291788">
    <w:abstractNumId w:val="30"/>
  </w:num>
  <w:num w:numId="6" w16cid:durableId="1276788690">
    <w:abstractNumId w:val="13"/>
  </w:num>
  <w:num w:numId="7" w16cid:durableId="566767730">
    <w:abstractNumId w:val="20"/>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19"/>
  </w:num>
  <w:num w:numId="17" w16cid:durableId="1529031027">
    <w:abstractNumId w:val="8"/>
  </w:num>
  <w:num w:numId="18" w16cid:durableId="568614617">
    <w:abstractNumId w:val="17"/>
  </w:num>
  <w:num w:numId="19" w16cid:durableId="1530605858">
    <w:abstractNumId w:val="47"/>
  </w:num>
  <w:num w:numId="20" w16cid:durableId="1328172586">
    <w:abstractNumId w:val="15"/>
  </w:num>
  <w:num w:numId="21" w16cid:durableId="184827816">
    <w:abstractNumId w:val="29"/>
  </w:num>
  <w:num w:numId="22" w16cid:durableId="1785346599">
    <w:abstractNumId w:val="36"/>
  </w:num>
  <w:num w:numId="23" w16cid:durableId="1294288901">
    <w:abstractNumId w:val="28"/>
  </w:num>
  <w:num w:numId="24" w16cid:durableId="1603957975">
    <w:abstractNumId w:val="49"/>
  </w:num>
  <w:num w:numId="25" w16cid:durableId="1659531047">
    <w:abstractNumId w:val="48"/>
  </w:num>
  <w:num w:numId="26" w16cid:durableId="752774403">
    <w:abstractNumId w:val="24"/>
  </w:num>
  <w:num w:numId="27" w16cid:durableId="347872198">
    <w:abstractNumId w:val="6"/>
  </w:num>
  <w:num w:numId="28" w16cid:durableId="537133110">
    <w:abstractNumId w:val="12"/>
  </w:num>
  <w:num w:numId="29" w16cid:durableId="1632318729">
    <w:abstractNumId w:val="50"/>
  </w:num>
  <w:num w:numId="30" w16cid:durableId="1268124074">
    <w:abstractNumId w:val="35"/>
  </w:num>
  <w:num w:numId="31" w16cid:durableId="887108748">
    <w:abstractNumId w:val="31"/>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51"/>
  </w:num>
  <w:num w:numId="47" w16cid:durableId="342588554">
    <w:abstractNumId w:val="27"/>
  </w:num>
  <w:num w:numId="48" w16cid:durableId="318391343">
    <w:abstractNumId w:val="39"/>
  </w:num>
  <w:num w:numId="49" w16cid:durableId="381948214">
    <w:abstractNumId w:val="23"/>
  </w:num>
  <w:num w:numId="50" w16cid:durableId="1208031602">
    <w:abstractNumId w:val="46"/>
  </w:num>
  <w:num w:numId="51" w16cid:durableId="264924682">
    <w:abstractNumId w:val="32"/>
  </w:num>
  <w:num w:numId="52" w16cid:durableId="85686685">
    <w:abstractNumId w:val="22"/>
  </w:num>
  <w:num w:numId="53" w16cid:durableId="816459132">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7E0"/>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185"/>
    <w:rsid w:val="000C1982"/>
    <w:rsid w:val="000C2857"/>
    <w:rsid w:val="000C52F1"/>
    <w:rsid w:val="000D0592"/>
    <w:rsid w:val="000D0F7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8A2"/>
    <w:rsid w:val="0025449C"/>
    <w:rsid w:val="002552C9"/>
    <w:rsid w:val="0025765F"/>
    <w:rsid w:val="00257732"/>
    <w:rsid w:val="0026163D"/>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A15"/>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BC4"/>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2C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28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26F"/>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E41"/>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AF5"/>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CEA"/>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837"/>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4C5"/>
    <w:rsid w:val="009D1847"/>
    <w:rsid w:val="009D1954"/>
    <w:rsid w:val="009D3783"/>
    <w:rsid w:val="009D43A7"/>
    <w:rsid w:val="009D5403"/>
    <w:rsid w:val="009D59A5"/>
    <w:rsid w:val="009D7337"/>
    <w:rsid w:val="009D7CB0"/>
    <w:rsid w:val="009E133B"/>
    <w:rsid w:val="009E1412"/>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394"/>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938"/>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3E6"/>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777"/>
    <w:rsid w:val="00CC4FFC"/>
    <w:rsid w:val="00CC5328"/>
    <w:rsid w:val="00CC77F9"/>
    <w:rsid w:val="00CC7CC0"/>
    <w:rsid w:val="00CD0735"/>
    <w:rsid w:val="00CD2707"/>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906"/>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200D"/>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271"/>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0A5"/>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CD270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212807">
      <w:bodyDiv w:val="1"/>
      <w:marLeft w:val="0"/>
      <w:marRight w:val="0"/>
      <w:marTop w:val="0"/>
      <w:marBottom w:val="0"/>
      <w:divBdr>
        <w:top w:val="none" w:sz="0" w:space="0" w:color="auto"/>
        <w:left w:val="none" w:sz="0" w:space="0" w:color="auto"/>
        <w:bottom w:val="none" w:sz="0" w:space="0" w:color="auto"/>
        <w:right w:val="none" w:sz="0" w:space="0" w:color="auto"/>
      </w:divBdr>
    </w:div>
    <w:div w:id="282538450">
      <w:bodyDiv w:val="1"/>
      <w:marLeft w:val="0"/>
      <w:marRight w:val="0"/>
      <w:marTop w:val="0"/>
      <w:marBottom w:val="0"/>
      <w:divBdr>
        <w:top w:val="none" w:sz="0" w:space="0" w:color="auto"/>
        <w:left w:val="none" w:sz="0" w:space="0" w:color="auto"/>
        <w:bottom w:val="none" w:sz="0" w:space="0" w:color="auto"/>
        <w:right w:val="none" w:sz="0" w:space="0" w:color="auto"/>
      </w:divBdr>
    </w:div>
    <w:div w:id="50378614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660702">
      <w:bodyDiv w:val="1"/>
      <w:marLeft w:val="0"/>
      <w:marRight w:val="0"/>
      <w:marTop w:val="0"/>
      <w:marBottom w:val="0"/>
      <w:divBdr>
        <w:top w:val="none" w:sz="0" w:space="0" w:color="auto"/>
        <w:left w:val="none" w:sz="0" w:space="0" w:color="auto"/>
        <w:bottom w:val="none" w:sz="0" w:space="0" w:color="auto"/>
        <w:right w:val="none" w:sz="0" w:space="0" w:color="auto"/>
      </w:divBdr>
    </w:div>
    <w:div w:id="886721495">
      <w:bodyDiv w:val="1"/>
      <w:marLeft w:val="0"/>
      <w:marRight w:val="0"/>
      <w:marTop w:val="0"/>
      <w:marBottom w:val="0"/>
      <w:divBdr>
        <w:top w:val="none" w:sz="0" w:space="0" w:color="auto"/>
        <w:left w:val="none" w:sz="0" w:space="0" w:color="auto"/>
        <w:bottom w:val="none" w:sz="0" w:space="0" w:color="auto"/>
        <w:right w:val="none" w:sz="0" w:space="0" w:color="auto"/>
      </w:divBdr>
      <w:divsChild>
        <w:div w:id="1842768778">
          <w:marLeft w:val="0"/>
          <w:marRight w:val="0"/>
          <w:marTop w:val="0"/>
          <w:marBottom w:val="0"/>
          <w:divBdr>
            <w:top w:val="none" w:sz="0" w:space="0" w:color="auto"/>
            <w:left w:val="none" w:sz="0" w:space="0" w:color="auto"/>
            <w:bottom w:val="none" w:sz="0" w:space="0" w:color="auto"/>
            <w:right w:val="none" w:sz="0" w:space="0" w:color="auto"/>
          </w:divBdr>
          <w:divsChild>
            <w:div w:id="1840850189">
              <w:marLeft w:val="0"/>
              <w:marRight w:val="0"/>
              <w:marTop w:val="0"/>
              <w:marBottom w:val="0"/>
              <w:divBdr>
                <w:top w:val="none" w:sz="0" w:space="0" w:color="auto"/>
                <w:left w:val="none" w:sz="0" w:space="0" w:color="auto"/>
                <w:bottom w:val="none" w:sz="0" w:space="0" w:color="auto"/>
                <w:right w:val="none" w:sz="0" w:space="0" w:color="auto"/>
              </w:divBdr>
              <w:divsChild>
                <w:div w:id="1655646921">
                  <w:marLeft w:val="0"/>
                  <w:marRight w:val="0"/>
                  <w:marTop w:val="0"/>
                  <w:marBottom w:val="0"/>
                  <w:divBdr>
                    <w:top w:val="none" w:sz="0" w:space="0" w:color="auto"/>
                    <w:left w:val="none" w:sz="0" w:space="0" w:color="auto"/>
                    <w:bottom w:val="none" w:sz="0" w:space="0" w:color="auto"/>
                    <w:right w:val="none" w:sz="0" w:space="0" w:color="auto"/>
                  </w:divBdr>
                  <w:divsChild>
                    <w:div w:id="1179543839">
                      <w:marLeft w:val="0"/>
                      <w:marRight w:val="0"/>
                      <w:marTop w:val="0"/>
                      <w:marBottom w:val="0"/>
                      <w:divBdr>
                        <w:top w:val="none" w:sz="0" w:space="0" w:color="auto"/>
                        <w:left w:val="none" w:sz="0" w:space="0" w:color="auto"/>
                        <w:bottom w:val="none" w:sz="0" w:space="0" w:color="auto"/>
                        <w:right w:val="none" w:sz="0" w:space="0" w:color="auto"/>
                      </w:divBdr>
                      <w:divsChild>
                        <w:div w:id="939264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1093864">
      <w:bodyDiv w:val="1"/>
      <w:marLeft w:val="0"/>
      <w:marRight w:val="0"/>
      <w:marTop w:val="0"/>
      <w:marBottom w:val="0"/>
      <w:divBdr>
        <w:top w:val="none" w:sz="0" w:space="0" w:color="auto"/>
        <w:left w:val="none" w:sz="0" w:space="0" w:color="auto"/>
        <w:bottom w:val="none" w:sz="0" w:space="0" w:color="auto"/>
        <w:right w:val="none" w:sz="0" w:space="0" w:color="auto"/>
      </w:divBdr>
    </w:div>
    <w:div w:id="1156260369">
      <w:bodyDiv w:val="1"/>
      <w:marLeft w:val="0"/>
      <w:marRight w:val="0"/>
      <w:marTop w:val="0"/>
      <w:marBottom w:val="0"/>
      <w:divBdr>
        <w:top w:val="none" w:sz="0" w:space="0" w:color="auto"/>
        <w:left w:val="none" w:sz="0" w:space="0" w:color="auto"/>
        <w:bottom w:val="none" w:sz="0" w:space="0" w:color="auto"/>
        <w:right w:val="none" w:sz="0" w:space="0" w:color="auto"/>
      </w:divBdr>
      <w:divsChild>
        <w:div w:id="803035828">
          <w:marLeft w:val="0"/>
          <w:marRight w:val="0"/>
          <w:marTop w:val="0"/>
          <w:marBottom w:val="0"/>
          <w:divBdr>
            <w:top w:val="none" w:sz="0" w:space="0" w:color="auto"/>
            <w:left w:val="none" w:sz="0" w:space="0" w:color="auto"/>
            <w:bottom w:val="none" w:sz="0" w:space="0" w:color="auto"/>
            <w:right w:val="none" w:sz="0" w:space="0" w:color="auto"/>
          </w:divBdr>
          <w:divsChild>
            <w:div w:id="446702529">
              <w:marLeft w:val="0"/>
              <w:marRight w:val="0"/>
              <w:marTop w:val="0"/>
              <w:marBottom w:val="0"/>
              <w:divBdr>
                <w:top w:val="none" w:sz="0" w:space="0" w:color="auto"/>
                <w:left w:val="none" w:sz="0" w:space="0" w:color="auto"/>
                <w:bottom w:val="none" w:sz="0" w:space="0" w:color="auto"/>
                <w:right w:val="none" w:sz="0" w:space="0" w:color="auto"/>
              </w:divBdr>
              <w:divsChild>
                <w:div w:id="729574662">
                  <w:marLeft w:val="0"/>
                  <w:marRight w:val="0"/>
                  <w:marTop w:val="0"/>
                  <w:marBottom w:val="0"/>
                  <w:divBdr>
                    <w:top w:val="none" w:sz="0" w:space="0" w:color="auto"/>
                    <w:left w:val="none" w:sz="0" w:space="0" w:color="auto"/>
                    <w:bottom w:val="none" w:sz="0" w:space="0" w:color="auto"/>
                    <w:right w:val="none" w:sz="0" w:space="0" w:color="auto"/>
                  </w:divBdr>
                  <w:divsChild>
                    <w:div w:id="225607236">
                      <w:marLeft w:val="0"/>
                      <w:marRight w:val="0"/>
                      <w:marTop w:val="0"/>
                      <w:marBottom w:val="0"/>
                      <w:divBdr>
                        <w:top w:val="none" w:sz="0" w:space="0" w:color="auto"/>
                        <w:left w:val="none" w:sz="0" w:space="0" w:color="auto"/>
                        <w:bottom w:val="none" w:sz="0" w:space="0" w:color="auto"/>
                        <w:right w:val="none" w:sz="0" w:space="0" w:color="auto"/>
                      </w:divBdr>
                      <w:divsChild>
                        <w:div w:id="129486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39061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868425">
      <w:bodyDiv w:val="1"/>
      <w:marLeft w:val="0"/>
      <w:marRight w:val="0"/>
      <w:marTop w:val="0"/>
      <w:marBottom w:val="0"/>
      <w:divBdr>
        <w:top w:val="none" w:sz="0" w:space="0" w:color="auto"/>
        <w:left w:val="none" w:sz="0" w:space="0" w:color="auto"/>
        <w:bottom w:val="none" w:sz="0" w:space="0" w:color="auto"/>
        <w:right w:val="none" w:sz="0" w:space="0" w:color="auto"/>
      </w:divBdr>
    </w:div>
    <w:div w:id="1297489527">
      <w:bodyDiv w:val="1"/>
      <w:marLeft w:val="0"/>
      <w:marRight w:val="0"/>
      <w:marTop w:val="0"/>
      <w:marBottom w:val="0"/>
      <w:divBdr>
        <w:top w:val="none" w:sz="0" w:space="0" w:color="auto"/>
        <w:left w:val="none" w:sz="0" w:space="0" w:color="auto"/>
        <w:bottom w:val="none" w:sz="0" w:space="0" w:color="auto"/>
        <w:right w:val="none" w:sz="0" w:space="0" w:color="auto"/>
      </w:divBdr>
    </w:div>
    <w:div w:id="1577863325">
      <w:bodyDiv w:val="1"/>
      <w:marLeft w:val="0"/>
      <w:marRight w:val="0"/>
      <w:marTop w:val="0"/>
      <w:marBottom w:val="0"/>
      <w:divBdr>
        <w:top w:val="none" w:sz="0" w:space="0" w:color="auto"/>
        <w:left w:val="none" w:sz="0" w:space="0" w:color="auto"/>
        <w:bottom w:val="none" w:sz="0" w:space="0" w:color="auto"/>
        <w:right w:val="none" w:sz="0" w:space="0" w:color="auto"/>
      </w:divBdr>
    </w:div>
    <w:div w:id="1594774683">
      <w:bodyDiv w:val="1"/>
      <w:marLeft w:val="0"/>
      <w:marRight w:val="0"/>
      <w:marTop w:val="0"/>
      <w:marBottom w:val="0"/>
      <w:divBdr>
        <w:top w:val="none" w:sz="0" w:space="0" w:color="auto"/>
        <w:left w:val="none" w:sz="0" w:space="0" w:color="auto"/>
        <w:bottom w:val="none" w:sz="0" w:space="0" w:color="auto"/>
        <w:right w:val="none" w:sz="0" w:space="0" w:color="auto"/>
      </w:divBdr>
    </w:div>
    <w:div w:id="171554058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322034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85101/https://www.idxcarbon.co.id/document/share/3/fb5185f8-a662-44f4-a1f5-f1f1b5ed2b25"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105620/https://peraturan.bpk.go.id/Download/295189/UU%20Nomor%204%20Tahun%202023.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2105653/https://www.idx.co.id/id/berita/berita/b882a251-3e5c-ee11-b808-005056aec3a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02085101/https://www.idxcarbon.co.id/document/share/3/fb5185f8-a662-44f4-a1f5-f1f1b5ed2b2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21912</Words>
  <Characters>131037</Characters>
  <Application>Microsoft Office Word</Application>
  <DocSecurity>0</DocSecurity>
  <Lines>8735</Lines>
  <Paragraphs>4634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8</cp:revision>
  <cp:lastPrinted>2025-03-21T00:14:00Z</cp:lastPrinted>
  <dcterms:created xsi:type="dcterms:W3CDTF">2025-07-01T03:32:00Z</dcterms:created>
  <dcterms:modified xsi:type="dcterms:W3CDTF">2025-07-06T06:08:00Z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f153576b-8d00-4409-b214-5b8947bf8f25</vt:lpwstr>
  </property>
</Properties>
</file>